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B469" w14:textId="578E45A6" w:rsidR="00FB285A" w:rsidRPr="00FB285A" w:rsidRDefault="00FB285A" w:rsidP="00FB285A">
      <w:pPr>
        <w:jc w:val="center"/>
        <w:rPr>
          <w:b/>
        </w:rPr>
      </w:pPr>
      <w:r w:rsidRPr="00FB285A">
        <w:rPr>
          <w:b/>
        </w:rPr>
        <w:t>Komentarz do stosowania priorytetów wydatkowania KFS w 202</w:t>
      </w:r>
      <w:r w:rsidR="008C69EE">
        <w:rPr>
          <w:b/>
        </w:rPr>
        <w:t>5</w:t>
      </w:r>
      <w:r w:rsidRPr="00FB285A">
        <w:rPr>
          <w:b/>
        </w:rPr>
        <w:t xml:space="preserve"> roku</w:t>
      </w:r>
    </w:p>
    <w:p w14:paraId="3DB95800" w14:textId="5C8A2683" w:rsidR="00872E11" w:rsidRDefault="00872E11" w:rsidP="00872E11">
      <w:pPr>
        <w:pStyle w:val="Default"/>
        <w:rPr>
          <w:rFonts w:ascii="Calibri" w:hAnsi="Calibri"/>
          <w:b/>
          <w:sz w:val="22"/>
          <w:szCs w:val="22"/>
        </w:rPr>
      </w:pPr>
    </w:p>
    <w:p w14:paraId="0A71C541" w14:textId="77777777" w:rsidR="00872E11" w:rsidRDefault="00872E11" w:rsidP="00872E11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Składany wniosek musi mieścić się w obszarze przynajmniej jednego z priorytetów</w:t>
      </w:r>
    </w:p>
    <w:p w14:paraId="091994F3" w14:textId="39F858AC" w:rsidR="00337CB4" w:rsidRDefault="00337CB4" w:rsidP="00337CB4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cstheme="minorHAnsi"/>
        </w:rPr>
        <w:t>AD. PRIORYTET 1</w:t>
      </w:r>
      <w:r>
        <w:t xml:space="preserve"> </w:t>
      </w:r>
      <w:r>
        <w:rPr>
          <w:b/>
          <w:bCs/>
        </w:rPr>
        <w:t xml:space="preserve">- </w:t>
      </w:r>
      <w:r w:rsidR="00A32CC8">
        <w:rPr>
          <w:rFonts w:cstheme="minorHAnsi"/>
          <w:b/>
          <w:bCs/>
          <w:color w:val="000000"/>
          <w:kern w:val="2"/>
          <w:lang w:bidi="hi-IN"/>
        </w:rPr>
        <w:t>W</w:t>
      </w:r>
      <w:r>
        <w:rPr>
          <w:rFonts w:cstheme="minorHAnsi"/>
          <w:b/>
          <w:bCs/>
          <w:color w:val="000000"/>
          <w:kern w:val="2"/>
          <w:lang w:bidi="hi-IN"/>
        </w:rPr>
        <w:t>sparcie kształcenia ustawicznego w zidentyfikowanych w danym powiecie lub w województwie zawodach deficytowych;</w:t>
      </w:r>
    </w:p>
    <w:p w14:paraId="40CB6630" w14:textId="0D32CEE8" w:rsidR="00337CB4" w:rsidRDefault="00337CB4" w:rsidP="00DB0EC4">
      <w:pPr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Składając wniosek o dofinansowanie z KFS w ramach priorytetu </w:t>
      </w:r>
      <w:r w:rsidR="00C70D97">
        <w:rPr>
          <w:rFonts w:ascii="Calibri" w:hAnsi="Calibri"/>
        </w:rPr>
        <w:t>1</w:t>
      </w:r>
      <w:r>
        <w:rPr>
          <w:rFonts w:ascii="Calibri" w:hAnsi="Calibri"/>
        </w:rPr>
        <w:t xml:space="preserve"> należy udowodnić, że wnioskowana forma kształcenia ustawicznego dotyczy zawodu deficytowego na terenie danego powiatu i województwa. Oznacza to zawód zidentyfikowany jako deficytowy w oparciu o </w:t>
      </w:r>
    </w:p>
    <w:p w14:paraId="72E9FC98" w14:textId="11331140" w:rsidR="00337CB4" w:rsidRDefault="00337CB4" w:rsidP="00DB0EC4">
      <w:pPr>
        <w:spacing w:after="0" w:line="276" w:lineRule="auto"/>
        <w:jc w:val="both"/>
        <w:rPr>
          <w:rStyle w:val="Hipercze"/>
        </w:rPr>
      </w:pPr>
      <w:hyperlink r:id="rId7" w:history="1">
        <w:r w:rsidRPr="000848B4">
          <w:rPr>
            <w:rStyle w:val="Hipercze"/>
          </w:rPr>
          <w:t xml:space="preserve">Barometr zawodów </w:t>
        </w:r>
        <w:r>
          <w:rPr>
            <w:rStyle w:val="Hipercze"/>
          </w:rPr>
          <w:t xml:space="preserve">  </w:t>
        </w:r>
        <w:r w:rsidRPr="000848B4">
          <w:rPr>
            <w:rStyle w:val="Hipercze"/>
          </w:rPr>
          <w:t>202</w:t>
        </w:r>
        <w:r>
          <w:rPr>
            <w:rStyle w:val="Hipercze"/>
          </w:rPr>
          <w:t>5</w:t>
        </w:r>
        <w:r w:rsidRPr="000848B4">
          <w:rPr>
            <w:rStyle w:val="Hipercze"/>
          </w:rPr>
          <w:t xml:space="preserve"> - powiat </w:t>
        </w:r>
      </w:hyperlink>
      <w:r>
        <w:rPr>
          <w:rStyle w:val="Hipercze"/>
        </w:rPr>
        <w:t>kolneński</w:t>
      </w:r>
    </w:p>
    <w:p w14:paraId="3A43B3CD" w14:textId="251F4987" w:rsidR="00337CB4" w:rsidRPr="00337CB4" w:rsidRDefault="00337CB4" w:rsidP="00DB0EC4">
      <w:pPr>
        <w:spacing w:after="0" w:line="276" w:lineRule="auto"/>
        <w:jc w:val="both"/>
      </w:pPr>
      <w:hyperlink r:id="rId8" w:history="1">
        <w:r w:rsidRPr="00872E11">
          <w:rPr>
            <w:rStyle w:val="Hipercze"/>
            <w:rFonts w:cstheme="minorHAnsi"/>
            <w:bCs/>
            <w:i/>
          </w:rPr>
          <w:t>Barometr zawodów 202</w:t>
        </w:r>
        <w:r>
          <w:rPr>
            <w:rStyle w:val="Hipercze"/>
            <w:rFonts w:cstheme="minorHAnsi"/>
            <w:bCs/>
            <w:i/>
          </w:rPr>
          <w:t>5</w:t>
        </w:r>
        <w:r w:rsidRPr="00872E11">
          <w:rPr>
            <w:rStyle w:val="Hipercze"/>
            <w:rFonts w:cstheme="minorHAnsi"/>
            <w:bCs/>
            <w:i/>
          </w:rPr>
          <w:t xml:space="preserve"> - województwo podlaskie</w:t>
        </w:r>
      </w:hyperlink>
    </w:p>
    <w:p w14:paraId="5255A081" w14:textId="77777777" w:rsidR="00337CB4" w:rsidRPr="00337CB4" w:rsidRDefault="00337CB4" w:rsidP="00DB0EC4">
      <w:pPr>
        <w:spacing w:after="0" w:line="276" w:lineRule="auto"/>
        <w:jc w:val="both"/>
        <w:rPr>
          <w:color w:val="000000"/>
        </w:rPr>
      </w:pPr>
      <w:r w:rsidRPr="00337CB4">
        <w:rPr>
          <w:color w:val="000000"/>
        </w:rPr>
        <w:t>Pracodawca wnioskujący o dofinasowanie kształcenia ustawicznego pracowników zatrudnionych na terenie innego powiatu lub województwa niż siedziba powiatowego urzędu pracy, w którym jest składany wniosek o dofinansowanie, powinien wykazać, ze zawód jest deficytowy dla miejsca wykonywania pracy.</w:t>
      </w:r>
    </w:p>
    <w:p w14:paraId="75518C0C" w14:textId="39B0EFFF" w:rsidR="00872E11" w:rsidRPr="00DD3DE7" w:rsidRDefault="00872E11" w:rsidP="00872E11">
      <w:pPr>
        <w:widowControl w:val="0"/>
        <w:suppressAutoHyphens/>
        <w:ind w:right="240"/>
        <w:rPr>
          <w:rFonts w:cstheme="minorHAnsi"/>
          <w:b/>
          <w:bCs/>
          <w:color w:val="000000"/>
          <w:kern w:val="2"/>
          <w:lang w:bidi="hi-IN"/>
        </w:rPr>
      </w:pPr>
      <w:r>
        <w:rPr>
          <w:rFonts w:cstheme="minorHAnsi"/>
        </w:rPr>
        <w:t xml:space="preserve">AD. PRIORYTET </w:t>
      </w:r>
      <w:r w:rsidR="00337CB4">
        <w:rPr>
          <w:rFonts w:cstheme="minorHAnsi"/>
        </w:rPr>
        <w:t>2</w:t>
      </w:r>
      <w:r>
        <w:t xml:space="preserve"> - </w:t>
      </w:r>
      <w:r w:rsidR="00A32CC8" w:rsidRPr="00DD3DE7">
        <w:rPr>
          <w:rFonts w:cstheme="minorHAnsi"/>
          <w:b/>
          <w:bCs/>
          <w:color w:val="000000"/>
          <w:kern w:val="2"/>
          <w:lang w:bidi="hi-IN"/>
        </w:rPr>
        <w:t>W</w:t>
      </w:r>
      <w:r w:rsidRPr="00DD3DE7">
        <w:rPr>
          <w:rFonts w:cstheme="minorHAnsi"/>
          <w:b/>
          <w:bCs/>
          <w:color w:val="000000"/>
          <w:kern w:val="2"/>
          <w:lang w:bidi="hi-IN"/>
        </w:rPr>
        <w:t>sparcie kształcenia ustawicznego w związku z zastosowaniem w firmach nowych procesów, technologii i narzędzi pracy;</w:t>
      </w:r>
    </w:p>
    <w:p w14:paraId="5476AABC" w14:textId="77777777" w:rsidR="00872E11" w:rsidRDefault="00872E11" w:rsidP="00DB0EC4">
      <w:pPr>
        <w:autoSpaceDN w:val="0"/>
        <w:spacing w:after="0" w:line="276" w:lineRule="auto"/>
        <w:jc w:val="both"/>
      </w:pPr>
      <w:r w:rsidRPr="00872E11">
        <w:rPr>
          <w:rFonts w:cstheme="minorHAnsi"/>
          <w:color w:val="000000"/>
          <w:lang w:bidi="hi-IN"/>
        </w:rPr>
        <w:t xml:space="preserve">To wsparcie kształcenia ustawicznego w związku z zastosowaniem w firmach nowych procesów, technologii i narzędzi pracy. </w:t>
      </w:r>
      <w:r>
        <w:t>Należy rozumieć tutaj technologie, maszyny czy rozwiązania nowe dla wnioskodawcy, a nie dla całego rynku. Wnioskodawca, który chce spełnić wymagania priorytetu powinien udowodnić, ze w ciągu jednego roku przed złożeniem wniosku bądź w ciągu trzech miesięcy po jego złożeniu zostały/zostaną zakupione nowe maszyny i narzędzia, bądź będą wdrożone nowe technologie i systemy, a osoby objęte kształceniem ustawicznym będą wykonywać nowe zadania związane z wprowadzonymi/planowanymi do wprowadzenia zmianami.</w:t>
      </w:r>
    </w:p>
    <w:p w14:paraId="2295BB13" w14:textId="77777777" w:rsidR="00DB0EC4" w:rsidRDefault="00DB0EC4" w:rsidP="00DB0EC4">
      <w:pPr>
        <w:autoSpaceDN w:val="0"/>
        <w:spacing w:after="0" w:line="276" w:lineRule="auto"/>
        <w:jc w:val="both"/>
      </w:pPr>
    </w:p>
    <w:p w14:paraId="3E79E7DC" w14:textId="3F25BAFE" w:rsidR="00337CB4" w:rsidRPr="00DD3DE7" w:rsidRDefault="00872E11" w:rsidP="00DB0EC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eastAsia="Calibri" w:cstheme="minorHAnsi"/>
        </w:rPr>
        <w:t xml:space="preserve">AD. PRIORYTET 3. - </w:t>
      </w:r>
      <w:r w:rsidR="00A32CC8" w:rsidRPr="00DD3DE7">
        <w:rPr>
          <w:rFonts w:cstheme="minorHAnsi"/>
          <w:b/>
          <w:bCs/>
        </w:rPr>
        <w:t>W</w:t>
      </w:r>
      <w:r w:rsidR="00337CB4" w:rsidRPr="00DD3DE7">
        <w:rPr>
          <w:rFonts w:cstheme="minorHAnsi"/>
          <w:b/>
          <w:bCs/>
        </w:rPr>
        <w:t>sparcie kształcenia ustawicznego pracodawców i ich pracowników</w:t>
      </w:r>
      <w:r w:rsidR="00DB0EC4" w:rsidRPr="00DD3DE7">
        <w:rPr>
          <w:rFonts w:cstheme="minorHAnsi"/>
          <w:b/>
          <w:bCs/>
        </w:rPr>
        <w:t xml:space="preserve"> </w:t>
      </w:r>
      <w:r w:rsidR="00337CB4" w:rsidRPr="00DD3DE7">
        <w:rPr>
          <w:rFonts w:cstheme="minorHAnsi"/>
          <w:b/>
          <w:bCs/>
        </w:rPr>
        <w:t>zgodnie z potrzebami szkoleniowymi, które pojawiły się na terenach dotkniętych przez</w:t>
      </w:r>
      <w:r w:rsidR="00DB0EC4" w:rsidRPr="00DD3DE7">
        <w:rPr>
          <w:rFonts w:cstheme="minorHAnsi"/>
          <w:b/>
          <w:bCs/>
        </w:rPr>
        <w:t xml:space="preserve"> </w:t>
      </w:r>
      <w:r w:rsidR="00337CB4" w:rsidRPr="00DD3DE7">
        <w:rPr>
          <w:rFonts w:cstheme="minorHAnsi"/>
          <w:b/>
          <w:bCs/>
        </w:rPr>
        <w:t>powódź we wrześniu 2024 roku.</w:t>
      </w:r>
    </w:p>
    <w:p w14:paraId="3D323941" w14:textId="77777777" w:rsidR="00DB0EC4" w:rsidRPr="00337CB4" w:rsidRDefault="00DB0EC4" w:rsidP="00DB0EC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211CD4" w14:textId="3FC22AB9" w:rsidR="00337CB4" w:rsidRPr="00DD3DE7" w:rsidRDefault="00872E11" w:rsidP="00337C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AD. PRIORYTET 4</w:t>
      </w:r>
      <w:r>
        <w:t xml:space="preserve"> </w:t>
      </w:r>
      <w:r>
        <w:rPr>
          <w:b/>
          <w:bCs/>
        </w:rPr>
        <w:t xml:space="preserve">- </w:t>
      </w:r>
      <w:r w:rsidR="00337CB4" w:rsidRPr="00DD3DE7">
        <w:rPr>
          <w:rFonts w:cstheme="minorHAnsi"/>
          <w:b/>
          <w:bCs/>
        </w:rPr>
        <w:t>Poprawa zarządzania i komunikacji w firmie w oparciu o zasady przeciwdziałania</w:t>
      </w:r>
    </w:p>
    <w:p w14:paraId="3516CE73" w14:textId="125BC75C" w:rsidR="00872E11" w:rsidRPr="00DD3DE7" w:rsidRDefault="00337CB4" w:rsidP="00337CB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2"/>
          <w:lang w:bidi="hi-IN"/>
        </w:rPr>
      </w:pPr>
      <w:r w:rsidRPr="00DD3DE7">
        <w:rPr>
          <w:rFonts w:cstheme="minorHAnsi"/>
          <w:b/>
          <w:bCs/>
        </w:rPr>
        <w:t xml:space="preserve">dyskryminacji i </w:t>
      </w:r>
      <w:proofErr w:type="spellStart"/>
      <w:r w:rsidRPr="00DD3DE7">
        <w:rPr>
          <w:rFonts w:cstheme="minorHAnsi"/>
          <w:b/>
          <w:bCs/>
        </w:rPr>
        <w:t>mobbingowi</w:t>
      </w:r>
      <w:proofErr w:type="spellEnd"/>
      <w:r w:rsidRPr="00DD3DE7">
        <w:rPr>
          <w:rFonts w:cstheme="minorHAnsi"/>
          <w:b/>
          <w:bCs/>
        </w:rPr>
        <w:t>, rozwoju dialogu społecznego, partycypacji pracowniczej i wspierania integracji w miejscu pracy</w:t>
      </w:r>
    </w:p>
    <w:p w14:paraId="7DA07F8C" w14:textId="13F61841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cstheme="minorHAnsi"/>
        </w:rPr>
        <w:t>Szkolenia powinny zawierać tematykę, w ramach której pracodawcy i pracownicy zostaną</w:t>
      </w:r>
      <w:r w:rsidR="00C70D97">
        <w:rPr>
          <w:rFonts w:cstheme="minorHAnsi"/>
        </w:rPr>
        <w:t xml:space="preserve"> </w:t>
      </w:r>
      <w:r w:rsidRPr="00E72C50">
        <w:rPr>
          <w:rFonts w:cstheme="minorHAnsi"/>
        </w:rPr>
        <w:t>wyposażeni w wiedzę i umiejętności m.in.:</w:t>
      </w:r>
    </w:p>
    <w:p w14:paraId="62C6851D" w14:textId="14DBE288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cstheme="minorHAnsi"/>
        </w:rPr>
        <w:t xml:space="preserve"> do rozpoznawania, rozumienia i przeciwdziałania </w:t>
      </w:r>
      <w:proofErr w:type="spellStart"/>
      <w:r w:rsidRPr="00E72C50">
        <w:rPr>
          <w:rFonts w:cstheme="minorHAnsi"/>
        </w:rPr>
        <w:t>mobbingowi</w:t>
      </w:r>
      <w:proofErr w:type="spellEnd"/>
      <w:r w:rsidRPr="00E72C50">
        <w:rPr>
          <w:rFonts w:cstheme="minorHAnsi"/>
        </w:rPr>
        <w:t xml:space="preserve"> w miejscu pracy, co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>zwiększy ich uważność na sposób komunikacji i budowania relacji w ich zespołach,</w:t>
      </w:r>
    </w:p>
    <w:p w14:paraId="58B5D5F3" w14:textId="374F9BBE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cstheme="minorHAnsi"/>
        </w:rPr>
        <w:t xml:space="preserve"> dotyczące różnych formy </w:t>
      </w:r>
      <w:proofErr w:type="spellStart"/>
      <w:r w:rsidRPr="00E72C50">
        <w:rPr>
          <w:rFonts w:cstheme="minorHAnsi"/>
        </w:rPr>
        <w:t>mobbingu</w:t>
      </w:r>
      <w:proofErr w:type="spellEnd"/>
      <w:r w:rsidRPr="00E72C50">
        <w:rPr>
          <w:rFonts w:cstheme="minorHAnsi"/>
        </w:rPr>
        <w:t>, jak zrozumieć jego wpływ na zespół oraz jak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 xml:space="preserve">skutecznie reagować i zapobiegać sytuacjom o charakterze </w:t>
      </w:r>
      <w:proofErr w:type="spellStart"/>
      <w:r w:rsidRPr="00E72C50">
        <w:rPr>
          <w:rFonts w:cstheme="minorHAnsi"/>
        </w:rPr>
        <w:t>mobbingu</w:t>
      </w:r>
      <w:proofErr w:type="spellEnd"/>
      <w:r w:rsidRPr="00E72C50">
        <w:rPr>
          <w:rFonts w:cstheme="minorHAnsi"/>
        </w:rPr>
        <w:t xml:space="preserve"> w przyszłości,</w:t>
      </w:r>
    </w:p>
    <w:p w14:paraId="1C5EFE36" w14:textId="73BC87E9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cstheme="minorHAnsi"/>
        </w:rPr>
        <w:t xml:space="preserve"> rozpoznawania/uważności (szczególnie menedżerowie/pracodawcy) na zachowania i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>relacje w zespołach.</w:t>
      </w:r>
    </w:p>
    <w:p w14:paraId="034B1897" w14:textId="77777777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cstheme="minorHAnsi"/>
        </w:rPr>
        <w:t xml:space="preserve"> do promowania bezpiecznego i wspierającego środowiska pracy</w:t>
      </w:r>
    </w:p>
    <w:p w14:paraId="1D05B115" w14:textId="72FB0A75" w:rsidR="00872E11" w:rsidRPr="00DB0EC4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DB0EC4">
        <w:rPr>
          <w:rFonts w:ascii="Segoe UI Symbol" w:hAnsi="Segoe UI Symbol" w:cs="Segoe UI Symbol"/>
        </w:rPr>
        <w:t>✓</w:t>
      </w:r>
      <w:r w:rsidRPr="00DB0EC4">
        <w:rPr>
          <w:rFonts w:cstheme="minorHAnsi"/>
        </w:rPr>
        <w:t xml:space="preserve"> na temat skutków społecznych i prawnych </w:t>
      </w:r>
      <w:proofErr w:type="spellStart"/>
      <w:r w:rsidRPr="00DB0EC4">
        <w:rPr>
          <w:rFonts w:cstheme="minorHAnsi"/>
        </w:rPr>
        <w:t>mobbingu</w:t>
      </w:r>
      <w:proofErr w:type="spellEnd"/>
      <w:r w:rsidRPr="00DB0EC4">
        <w:rPr>
          <w:rFonts w:cstheme="minorHAnsi"/>
        </w:rPr>
        <w:t xml:space="preserve"> lub dyskryminacji</w:t>
      </w:r>
    </w:p>
    <w:p w14:paraId="277C13AB" w14:textId="5EDA44D3" w:rsidR="00E72C50" w:rsidRPr="00E72C50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cstheme="minorHAnsi"/>
        </w:rPr>
        <w:t xml:space="preserve"> dotyczące wdrażania procedur przeciwdziałania i reagowania na przypadki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>nieprawidłowości.</w:t>
      </w:r>
    </w:p>
    <w:p w14:paraId="69180CF0" w14:textId="77777777" w:rsidR="00E72C50" w:rsidRDefault="00E72C50" w:rsidP="00E72C50">
      <w:pPr>
        <w:autoSpaceDN w:val="0"/>
        <w:spacing w:after="0"/>
        <w:jc w:val="both"/>
      </w:pPr>
    </w:p>
    <w:p w14:paraId="69B71291" w14:textId="1E882C4B" w:rsidR="00E72C50" w:rsidRPr="00DB0EC4" w:rsidRDefault="00E72C50" w:rsidP="00DB0EC4">
      <w:pPr>
        <w:autoSpaceDN w:val="0"/>
        <w:spacing w:after="0" w:line="276" w:lineRule="auto"/>
        <w:jc w:val="both"/>
        <w:rPr>
          <w:rFonts w:cstheme="minorHAnsi"/>
        </w:rPr>
      </w:pPr>
      <w:r w:rsidRPr="00E72C50">
        <w:rPr>
          <w:rFonts w:cstheme="minorHAnsi"/>
        </w:rPr>
        <w:lastRenderedPageBreak/>
        <w:t>Szkolenia tego typu mają na celu wzmocnienie umiejętności zarządzania, poprawę komunikacji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>wewnętrznej oraz stworzenie środowiska opartego na równości, integracji i zaangażowaniu</w:t>
      </w:r>
      <w:r w:rsidRPr="00DB0EC4">
        <w:rPr>
          <w:rFonts w:cstheme="minorHAnsi"/>
        </w:rPr>
        <w:t xml:space="preserve"> </w:t>
      </w:r>
      <w:r w:rsidRPr="00E72C50">
        <w:rPr>
          <w:rFonts w:cstheme="minorHAnsi"/>
        </w:rPr>
        <w:t>pracowników. Realizacja tych celów wpływa na budowanie kultury organizacyjnej, która</w:t>
      </w:r>
      <w:r w:rsidRPr="00DB0EC4">
        <w:rPr>
          <w:rFonts w:cstheme="minorHAnsi"/>
        </w:rPr>
        <w:t xml:space="preserve"> sprzyja efektywności i zadowoleniu zespołu.</w:t>
      </w:r>
    </w:p>
    <w:p w14:paraId="25B9E45D" w14:textId="77777777" w:rsidR="00E72C50" w:rsidRDefault="00E72C50" w:rsidP="00E72C50">
      <w:pPr>
        <w:autoSpaceDN w:val="0"/>
        <w:spacing w:after="0"/>
        <w:jc w:val="both"/>
      </w:pPr>
    </w:p>
    <w:p w14:paraId="0EB67A24" w14:textId="4C0CADA0" w:rsidR="00872E11" w:rsidRPr="00DD3DE7" w:rsidRDefault="00872E11" w:rsidP="00E72C50">
      <w:pPr>
        <w:autoSpaceDN w:val="0"/>
        <w:spacing w:after="0"/>
        <w:jc w:val="both"/>
        <w:rPr>
          <w:rFonts w:cstheme="minorHAnsi"/>
          <w:b/>
          <w:bCs/>
        </w:rPr>
      </w:pPr>
      <w:r>
        <w:t xml:space="preserve">AD. PRIORYTET 5 – </w:t>
      </w:r>
      <w:r w:rsidR="00E72C50" w:rsidRPr="00DD3DE7">
        <w:rPr>
          <w:rFonts w:cstheme="minorHAnsi"/>
          <w:b/>
          <w:bCs/>
        </w:rPr>
        <w:t xml:space="preserve">Promowanie i wspieranie zdrowia psychicznego oraz tworzenie </w:t>
      </w:r>
      <w:r w:rsidR="00E72C50" w:rsidRPr="00E72C50">
        <w:rPr>
          <w:rFonts w:cstheme="minorHAnsi"/>
          <w:b/>
          <w:bCs/>
        </w:rPr>
        <w:t>przyjaznych środowisk pracy poprzez m.in. szkolenia z zakresu zarządzania wiekiem,</w:t>
      </w:r>
      <w:r w:rsidR="00E72C50" w:rsidRPr="00DD3DE7">
        <w:rPr>
          <w:rFonts w:cstheme="minorHAnsi"/>
          <w:b/>
          <w:bCs/>
        </w:rPr>
        <w:t xml:space="preserve"> </w:t>
      </w:r>
      <w:r w:rsidR="00E72C50" w:rsidRPr="00E72C50">
        <w:rPr>
          <w:rFonts w:cstheme="minorHAnsi"/>
          <w:b/>
          <w:bCs/>
        </w:rPr>
        <w:t>radzenia sobie ze stresem, pozytywnej psychologii, dobrostanu psychicznego oraz</w:t>
      </w:r>
      <w:r w:rsidR="00E72C50" w:rsidRPr="00DD3DE7">
        <w:rPr>
          <w:rFonts w:cstheme="minorHAnsi"/>
          <w:b/>
          <w:bCs/>
        </w:rPr>
        <w:t xml:space="preserve"> budowania zdrowej i różnorodnej kultury organizacyjnej</w:t>
      </w:r>
    </w:p>
    <w:p w14:paraId="1EFD2738" w14:textId="77777777" w:rsidR="00E72C50" w:rsidRPr="00E72C50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Calibri" w:hAnsi="Calibri"/>
        </w:rPr>
        <w:t>Przykładowe obszary, które mogą znaleźć się w zakresie tematycznym szkoleń to:</w:t>
      </w:r>
    </w:p>
    <w:p w14:paraId="70D6650F" w14:textId="77777777" w:rsidR="00E72C50" w:rsidRPr="00E72C50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ascii="Calibri" w:hAnsi="Calibri"/>
        </w:rPr>
        <w:t xml:space="preserve"> rola pracodawcy w wspieraniu zdrowia psychicznego</w:t>
      </w:r>
    </w:p>
    <w:p w14:paraId="6DC515DD" w14:textId="1FDC7D9C" w:rsidR="00E72C50" w:rsidRPr="00E72C50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ascii="Calibri" w:hAnsi="Calibri"/>
        </w:rPr>
        <w:t xml:space="preserve"> przyczyny i skutki stresu zawodowego, wypalenia zawodowego oraz radzenia</w:t>
      </w:r>
      <w:r>
        <w:rPr>
          <w:rFonts w:ascii="Calibri" w:hAnsi="Calibri"/>
        </w:rPr>
        <w:t xml:space="preserve"> </w:t>
      </w:r>
      <w:r w:rsidRPr="00E72C50">
        <w:rPr>
          <w:rFonts w:ascii="Calibri" w:hAnsi="Calibri"/>
        </w:rPr>
        <w:t>sobie z nimi</w:t>
      </w:r>
    </w:p>
    <w:p w14:paraId="2ACD1B9D" w14:textId="63DFF1B4" w:rsidR="00E72C50" w:rsidRPr="00E72C50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ascii="Calibri" w:hAnsi="Calibri"/>
        </w:rPr>
        <w:t xml:space="preserve"> skuteczna komunikacja w zespole, budowanie otwartego środowiska pracy</w:t>
      </w:r>
      <w:r>
        <w:rPr>
          <w:rFonts w:ascii="Calibri" w:hAnsi="Calibri"/>
        </w:rPr>
        <w:t xml:space="preserve"> </w:t>
      </w:r>
      <w:r w:rsidRPr="00E72C50">
        <w:rPr>
          <w:rFonts w:ascii="Calibri" w:hAnsi="Calibri"/>
        </w:rPr>
        <w:t>tworzenie przyjaznego środowiska pracy</w:t>
      </w:r>
    </w:p>
    <w:p w14:paraId="0662C6CE" w14:textId="74F33750" w:rsidR="00E72C50" w:rsidRPr="00E72C50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ascii="Calibri" w:hAnsi="Calibri"/>
        </w:rPr>
        <w:t xml:space="preserve"> różnorodność w miejscu pracy, integracja pracowników wywodzących się z</w:t>
      </w:r>
      <w:r>
        <w:rPr>
          <w:rFonts w:ascii="Calibri" w:hAnsi="Calibri"/>
        </w:rPr>
        <w:t xml:space="preserve"> </w:t>
      </w:r>
      <w:r w:rsidRPr="00E72C50">
        <w:rPr>
          <w:rFonts w:ascii="Calibri" w:hAnsi="Calibri"/>
        </w:rPr>
        <w:t>różnych grup pokoleniowych</w:t>
      </w:r>
    </w:p>
    <w:p w14:paraId="28EA5B6D" w14:textId="122AD2F8" w:rsidR="00872E11" w:rsidRDefault="00E72C50" w:rsidP="00DD3DE7">
      <w:pPr>
        <w:spacing w:after="0" w:line="276" w:lineRule="auto"/>
        <w:jc w:val="both"/>
        <w:rPr>
          <w:rFonts w:ascii="Calibri" w:hAnsi="Calibri"/>
        </w:rPr>
      </w:pPr>
      <w:r w:rsidRPr="00E72C50">
        <w:rPr>
          <w:rFonts w:ascii="Segoe UI Symbol" w:hAnsi="Segoe UI Symbol" w:cs="Segoe UI Symbol"/>
        </w:rPr>
        <w:t>✓</w:t>
      </w:r>
      <w:r w:rsidRPr="00E72C50">
        <w:rPr>
          <w:rFonts w:ascii="Calibri" w:hAnsi="Calibri"/>
        </w:rPr>
        <w:t xml:space="preserve"> promowanie równowagi między życiem zawodowym a prywatnym, zdrowego</w:t>
      </w:r>
      <w:r>
        <w:rPr>
          <w:rFonts w:ascii="Calibri" w:hAnsi="Calibri"/>
        </w:rPr>
        <w:t xml:space="preserve"> </w:t>
      </w:r>
      <w:r w:rsidRPr="00E72C50">
        <w:rPr>
          <w:rFonts w:ascii="Calibri" w:hAnsi="Calibri"/>
        </w:rPr>
        <w:t>stylu życia, technik relaksacyjnych i innych metod radzenia sobie ze stresem.</w:t>
      </w:r>
    </w:p>
    <w:p w14:paraId="7579D262" w14:textId="77777777" w:rsidR="00E72C50" w:rsidRPr="00E72C50" w:rsidRDefault="00E72C50" w:rsidP="00A32CC8">
      <w:pPr>
        <w:spacing w:after="0"/>
        <w:jc w:val="both"/>
        <w:rPr>
          <w:rFonts w:ascii="Calibri" w:hAnsi="Calibri"/>
        </w:rPr>
      </w:pPr>
    </w:p>
    <w:p w14:paraId="41C22C61" w14:textId="1061CABD" w:rsidR="00872E11" w:rsidRPr="00DD3DE7" w:rsidRDefault="00872E11" w:rsidP="00A32C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ascii="Calibri" w:hAnsi="Calibri"/>
        </w:rPr>
        <w:t xml:space="preserve">AD. PRIORYTET 6.  – </w:t>
      </w:r>
      <w:r w:rsidR="00A32CC8" w:rsidRPr="00DD3DE7">
        <w:rPr>
          <w:rFonts w:cstheme="minorHAnsi"/>
          <w:b/>
          <w:bCs/>
        </w:rPr>
        <w:t>Wsparcie cudzoziemców, w szczególności w zakresie zdobywania wiedzy na temat polskiego prawa pracy i integracji tych osób na rynku pracy</w:t>
      </w:r>
    </w:p>
    <w:p w14:paraId="7B3872EB" w14:textId="3E89466D" w:rsidR="00872E11" w:rsidRPr="00A32CC8" w:rsidRDefault="00A32CC8" w:rsidP="00872E11">
      <w:pPr>
        <w:jc w:val="both"/>
        <w:rPr>
          <w:rFonts w:cstheme="minorHAnsi"/>
          <w:color w:val="FF0000"/>
        </w:rPr>
      </w:pPr>
      <w:r w:rsidRPr="00A32CC8">
        <w:rPr>
          <w:rFonts w:cstheme="minorHAnsi"/>
        </w:rPr>
        <w:t xml:space="preserve">W ramach tego priorytetu mogą być finansowane szkolenia </w:t>
      </w:r>
      <w:r w:rsidRPr="00A32CC8">
        <w:rPr>
          <w:rFonts w:cstheme="minorHAnsi"/>
          <w:b/>
          <w:bCs/>
        </w:rPr>
        <w:t xml:space="preserve">tylko </w:t>
      </w:r>
      <w:r w:rsidRPr="00A32CC8">
        <w:rPr>
          <w:rFonts w:cstheme="minorHAnsi"/>
        </w:rPr>
        <w:t>dla cudzoziemców.</w:t>
      </w:r>
      <w:r w:rsidRPr="00A32C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Szkolenia dla cudzoziemców mogą być finansowane również w ramach innych priorytetów, o ile spełniają oni kryteria w nich określone. </w:t>
      </w:r>
      <w:r>
        <w:rPr>
          <w:rFonts w:cstheme="minorHAnsi"/>
        </w:rPr>
        <w:t xml:space="preserve"> </w:t>
      </w:r>
    </w:p>
    <w:p w14:paraId="3C32FBB3" w14:textId="13587C22" w:rsidR="00872E11" w:rsidRDefault="00872E11" w:rsidP="00A32C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</w:rPr>
        <w:t>AD. PRIORYTET 7</w:t>
      </w:r>
      <w:r>
        <w:t xml:space="preserve">. – </w:t>
      </w:r>
      <w:r w:rsidR="00A32CC8" w:rsidRPr="00A32CC8">
        <w:rPr>
          <w:rFonts w:cstheme="minorHAnsi"/>
          <w:b/>
          <w:bCs/>
        </w:rPr>
        <w:t>Wsparcie rozwoju umiejętności i kwalifikacji niezbędnych w sektorze</w:t>
      </w:r>
      <w:r w:rsidR="00A32CC8">
        <w:rPr>
          <w:rFonts w:cstheme="minorHAnsi"/>
          <w:b/>
          <w:bCs/>
        </w:rPr>
        <w:t xml:space="preserve"> </w:t>
      </w:r>
      <w:r w:rsidR="00A32CC8" w:rsidRPr="00A32CC8">
        <w:rPr>
          <w:rFonts w:cstheme="minorHAnsi"/>
          <w:b/>
          <w:bCs/>
        </w:rPr>
        <w:t xml:space="preserve">usług </w:t>
      </w:r>
      <w:r w:rsidR="00A32CC8">
        <w:rPr>
          <w:rFonts w:cstheme="minorHAnsi"/>
          <w:b/>
          <w:bCs/>
        </w:rPr>
        <w:t>z</w:t>
      </w:r>
      <w:r w:rsidR="00A32CC8" w:rsidRPr="00A32CC8">
        <w:rPr>
          <w:rFonts w:cstheme="minorHAnsi"/>
          <w:b/>
          <w:bCs/>
        </w:rPr>
        <w:t>drowotnych i opiekuńczych</w:t>
      </w:r>
    </w:p>
    <w:p w14:paraId="58B7C36F" w14:textId="34728077" w:rsidR="00DB0EC4" w:rsidRDefault="00DB0EC4" w:rsidP="00DD3DE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DB0EC4">
        <w:rPr>
          <w:rFonts w:cstheme="minorHAnsi"/>
          <w:sz w:val="24"/>
          <w:szCs w:val="24"/>
        </w:rPr>
        <w:t>Dostęp do priorytetu ma każdy pracodawca posiadający PKD w</w:t>
      </w:r>
      <w:r w:rsidR="00DD3DE7">
        <w:rPr>
          <w:rFonts w:cstheme="minorHAnsi"/>
          <w:sz w:val="24"/>
          <w:szCs w:val="24"/>
        </w:rPr>
        <w:t xml:space="preserve"> </w:t>
      </w:r>
      <w:r w:rsidRPr="00DB0EC4">
        <w:rPr>
          <w:rFonts w:cstheme="minorHAnsi"/>
          <w:sz w:val="24"/>
          <w:szCs w:val="24"/>
        </w:rPr>
        <w:t>Sekcji Q tj. Opieka zdrowotna i pomoc społeczna w działach 86 – Opieka zdrowotna, 87-</w:t>
      </w:r>
      <w:r w:rsidR="00DD3DE7">
        <w:rPr>
          <w:rFonts w:cstheme="minorHAnsi"/>
          <w:sz w:val="24"/>
          <w:szCs w:val="24"/>
        </w:rPr>
        <w:t xml:space="preserve"> </w:t>
      </w:r>
      <w:r w:rsidRPr="00DB0EC4">
        <w:rPr>
          <w:rFonts w:cstheme="minorHAnsi"/>
          <w:sz w:val="24"/>
          <w:szCs w:val="24"/>
        </w:rPr>
        <w:t xml:space="preserve">Pomoc społeczna z </w:t>
      </w:r>
      <w:proofErr w:type="spellStart"/>
      <w:r w:rsidRPr="00DB0EC4">
        <w:rPr>
          <w:rFonts w:cstheme="minorHAnsi"/>
          <w:sz w:val="24"/>
          <w:szCs w:val="24"/>
        </w:rPr>
        <w:t>zakwaterowa</w:t>
      </w:r>
      <w:r w:rsidR="00DD3DE7">
        <w:rPr>
          <w:rFonts w:cstheme="minorHAnsi"/>
          <w:sz w:val="24"/>
          <w:szCs w:val="24"/>
        </w:rPr>
        <w:t>-</w:t>
      </w:r>
      <w:r w:rsidRPr="00DB0EC4">
        <w:rPr>
          <w:rFonts w:cstheme="minorHAnsi"/>
          <w:sz w:val="24"/>
          <w:szCs w:val="24"/>
        </w:rPr>
        <w:t>niem</w:t>
      </w:r>
      <w:proofErr w:type="spellEnd"/>
      <w:r w:rsidRPr="00DB0EC4">
        <w:rPr>
          <w:rFonts w:cstheme="minorHAnsi"/>
          <w:sz w:val="24"/>
          <w:szCs w:val="24"/>
        </w:rPr>
        <w:t xml:space="preserve">, 88 – Pomoc społeczna bez zakwaterowania. </w:t>
      </w:r>
    </w:p>
    <w:p w14:paraId="14EBA643" w14:textId="77777777" w:rsidR="00C70D97" w:rsidRDefault="00C70D97" w:rsidP="00DD3DE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AEEE5E9" w14:textId="1F0324CC" w:rsidR="00872E11" w:rsidRDefault="00872E11" w:rsidP="00872E11">
      <w:pPr>
        <w:widowControl w:val="0"/>
        <w:suppressAutoHyphens/>
        <w:ind w:right="240"/>
        <w:rPr>
          <w:rFonts w:cstheme="minorHAnsi"/>
          <w:b/>
          <w:bCs/>
        </w:rPr>
      </w:pPr>
      <w:bookmarkStart w:id="0" w:name="_Hlk187924789"/>
      <w:r>
        <w:rPr>
          <w:rFonts w:cstheme="minorHAnsi"/>
        </w:rPr>
        <w:t>AD. PRIORYTET 8</w:t>
      </w:r>
      <w:r>
        <w:t xml:space="preserve">. – </w:t>
      </w:r>
      <w:bookmarkEnd w:id="0"/>
      <w:r w:rsidR="00DD3DE7">
        <w:rPr>
          <w:rFonts w:cstheme="minorHAnsi"/>
          <w:b/>
          <w:bCs/>
        </w:rPr>
        <w:t>Rozwój umiejętności cyfrowych</w:t>
      </w:r>
    </w:p>
    <w:p w14:paraId="3BD88A82" w14:textId="579CAE5E" w:rsidR="00DD3DE7" w:rsidRDefault="00DD3DE7" w:rsidP="00DD3DE7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DD3DE7">
        <w:rPr>
          <w:rFonts w:cstheme="minorHAnsi"/>
        </w:rPr>
        <w:t>Składając stosowny wniosek o dofinansowanie podnoszenia kompetencji cyfrowych</w:t>
      </w:r>
      <w:r>
        <w:rPr>
          <w:rFonts w:cstheme="minorHAnsi"/>
        </w:rPr>
        <w:t xml:space="preserve"> </w:t>
      </w:r>
      <w:r w:rsidRPr="00DD3DE7">
        <w:rPr>
          <w:rFonts w:cstheme="minorHAnsi"/>
        </w:rPr>
        <w:t>Wnioskodawca w uzasadnieniu powinien wykazać, że posiadanie konkretnych umiejętności</w:t>
      </w:r>
      <w:r>
        <w:rPr>
          <w:rFonts w:cstheme="minorHAnsi"/>
        </w:rPr>
        <w:t xml:space="preserve"> </w:t>
      </w:r>
      <w:r w:rsidRPr="00DD3DE7">
        <w:rPr>
          <w:rFonts w:cstheme="minorHAnsi"/>
        </w:rPr>
        <w:t>cyfrowych, które objęte są tematyką wnioskowanego szkolenia, jest powiązane z pracą</w:t>
      </w:r>
      <w:r>
        <w:rPr>
          <w:rFonts w:cstheme="minorHAnsi"/>
        </w:rPr>
        <w:t xml:space="preserve"> </w:t>
      </w:r>
      <w:r w:rsidRPr="00DD3DE7">
        <w:rPr>
          <w:rFonts w:cstheme="minorHAnsi"/>
        </w:rPr>
        <w:t>wykonywaną przez osobę kierowaną na szkolenie.</w:t>
      </w:r>
    </w:p>
    <w:p w14:paraId="03458E12" w14:textId="77777777" w:rsidR="00C70D97" w:rsidRDefault="00C70D97" w:rsidP="00DD3DE7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5A3FFEE" w14:textId="72EB6070" w:rsidR="00DD3DE7" w:rsidRDefault="00DD3DE7" w:rsidP="00C70D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bookmarkStart w:id="1" w:name="_Hlk208477247"/>
      <w:r>
        <w:rPr>
          <w:rFonts w:cstheme="minorHAnsi"/>
        </w:rPr>
        <w:t xml:space="preserve">AD. PRIORYTET </w:t>
      </w:r>
      <w:bookmarkEnd w:id="1"/>
      <w:r>
        <w:rPr>
          <w:rFonts w:cstheme="minorHAnsi"/>
        </w:rPr>
        <w:t>9</w:t>
      </w:r>
      <w:r>
        <w:t>. –</w:t>
      </w:r>
      <w:r w:rsidR="00C70D97">
        <w:t xml:space="preserve"> </w:t>
      </w:r>
      <w:r w:rsidR="00C70D97" w:rsidRPr="00C70D97">
        <w:rPr>
          <w:rFonts w:cstheme="minorHAnsi"/>
          <w:b/>
          <w:bCs/>
        </w:rPr>
        <w:t>Wsparcie rozwoju umiejętności związanych z transformacją energetyczną</w:t>
      </w:r>
    </w:p>
    <w:p w14:paraId="1B546F36" w14:textId="7C43BBB5" w:rsidR="00C70D97" w:rsidRDefault="00C70D97" w:rsidP="00C70D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C70D97">
        <w:rPr>
          <w:rFonts w:cstheme="minorHAnsi"/>
        </w:rPr>
        <w:t>Priorytet niniejszy adresowany jest do wszystkich pracodawców, którzy w jakikolwiek sposób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chcą przyczynić się do realizacji założonych celów transformacji energetycznej np. przejścia z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energetyki tradycyjnej, na przykład węglowej, do bardziej przyjaznych środowisku źródeł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energii np. wiatraków czy farm fotowoltaicznych. Będą również mogły być finansowane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szkolenia mające na celu rozwój tzw. zielonych kompetencji czyli zestawu umiejętności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pozwalających na działania na rzecz zrównoważonego rozwoju. W ramach tego priorytetu</w:t>
      </w:r>
      <w:r>
        <w:rPr>
          <w:rFonts w:cstheme="minorHAnsi"/>
        </w:rPr>
        <w:t xml:space="preserve"> </w:t>
      </w:r>
      <w:r w:rsidRPr="00C70D97">
        <w:rPr>
          <w:rFonts w:cstheme="minorHAnsi"/>
        </w:rPr>
        <w:t>mogą być finansowane również szkolenia w obszarze szeroko pojętej ekologii.</w:t>
      </w:r>
    </w:p>
    <w:p w14:paraId="2FF7F7BC" w14:textId="3D705458" w:rsidR="004F6872" w:rsidRDefault="004F6872" w:rsidP="00C70D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lastRenderedPageBreak/>
        <w:t>AD. PRIORYTET</w:t>
      </w:r>
      <w:r>
        <w:rPr>
          <w:rFonts w:cstheme="minorHAnsi"/>
        </w:rPr>
        <w:t xml:space="preserve"> 14. - </w:t>
      </w:r>
      <w:r w:rsidRPr="004F6872">
        <w:rPr>
          <w:rFonts w:cstheme="minorHAnsi"/>
          <w:b/>
          <w:bCs/>
          <w:color w:val="000000"/>
        </w:rPr>
        <w:t>W</w:t>
      </w:r>
      <w:r w:rsidRPr="004F6872">
        <w:rPr>
          <w:rFonts w:cstheme="minorHAnsi"/>
          <w:b/>
          <w:bCs/>
        </w:rPr>
        <w:t xml:space="preserve">sparcie rozwoju umiejętności i kwalifikacji w związku z wprowadzaniem elastycznego czasu pracy z zachowaniem poziomu wynagrodzenia lub rozpowszechnianie w firmach </w:t>
      </w:r>
      <w:proofErr w:type="spellStart"/>
      <w:r w:rsidRPr="004F6872">
        <w:rPr>
          <w:rFonts w:cstheme="minorHAnsi"/>
          <w:b/>
          <w:bCs/>
        </w:rPr>
        <w:t>work</w:t>
      </w:r>
      <w:proofErr w:type="spellEnd"/>
      <w:r w:rsidRPr="004F6872">
        <w:rPr>
          <w:rFonts w:cstheme="minorHAnsi"/>
          <w:b/>
          <w:bCs/>
        </w:rPr>
        <w:t xml:space="preserve">-life </w:t>
      </w:r>
      <w:proofErr w:type="spellStart"/>
      <w:r w:rsidRPr="004F6872">
        <w:rPr>
          <w:rFonts w:cstheme="minorHAnsi"/>
          <w:b/>
          <w:bCs/>
        </w:rPr>
        <w:t>balance</w:t>
      </w:r>
      <w:proofErr w:type="spellEnd"/>
    </w:p>
    <w:p w14:paraId="03199626" w14:textId="77777777" w:rsidR="004F6872" w:rsidRPr="001275FB" w:rsidRDefault="004F6872" w:rsidP="004F6872">
      <w:pPr>
        <w:spacing w:before="100" w:beforeAutospacing="1" w:after="100" w:afterAutospacing="1"/>
      </w:pPr>
      <w:r>
        <w:t xml:space="preserve">Priorytet adresowany do wszystkich pracodawców. </w:t>
      </w:r>
      <w:r w:rsidRPr="001275FB">
        <w:t xml:space="preserve">W kontekście wprowadzania elastycznego czasu pracy i rozpowszechniania zasad </w:t>
      </w:r>
      <w:proofErr w:type="spellStart"/>
      <w:r w:rsidRPr="001275FB">
        <w:t>work</w:t>
      </w:r>
      <w:proofErr w:type="spellEnd"/>
      <w:r w:rsidRPr="001275FB">
        <w:t xml:space="preserve">-life </w:t>
      </w:r>
      <w:proofErr w:type="spellStart"/>
      <w:r w:rsidRPr="001275FB">
        <w:t>balance</w:t>
      </w:r>
      <w:proofErr w:type="spellEnd"/>
      <w:r w:rsidRPr="001275FB">
        <w:t xml:space="preserve">, pracodawcy mogą </w:t>
      </w:r>
      <w:r>
        <w:t>zaproponować</w:t>
      </w:r>
      <w:r w:rsidRPr="001275FB">
        <w:t xml:space="preserve"> różnorodne szkolenia i wsparcie dla pracowników </w:t>
      </w:r>
      <w:r>
        <w:t>uwzględniając w ich tematyce kilka</w:t>
      </w:r>
      <w:r w:rsidRPr="001275FB">
        <w:t xml:space="preserve"> kluczowych obszar</w:t>
      </w:r>
      <w:r>
        <w:t>ów</w:t>
      </w:r>
      <w:r w:rsidRPr="001275FB">
        <w:t xml:space="preserve"> takich jak:</w:t>
      </w:r>
    </w:p>
    <w:p w14:paraId="07A1EF46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</w:pPr>
      <w:r w:rsidRPr="001275FB">
        <w:t xml:space="preserve">Zarządzanie czasem i priorytetami (w tym m. in. techniki efektywnego planowania dnia </w:t>
      </w:r>
      <w:r>
        <w:t>pracy zdalnej lub w elastycznych godzinach</w:t>
      </w:r>
      <w:r w:rsidRPr="001275FB">
        <w:t xml:space="preserve">, optymalizacja czasu pracy, </w:t>
      </w:r>
      <w:proofErr w:type="spellStart"/>
      <w:r w:rsidRPr="001275FB">
        <w:t>priorytetyzacja</w:t>
      </w:r>
      <w:proofErr w:type="spellEnd"/>
      <w:r w:rsidRPr="001275FB">
        <w:t xml:space="preserve"> zadań, zarządzanie stresem związanym z pracą elastyczną)</w:t>
      </w:r>
    </w:p>
    <w:p w14:paraId="6A64FE23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</w:pPr>
      <w:r w:rsidRPr="001275FB">
        <w:t xml:space="preserve">Komunikacja w elastycznym środowisku pracy (w tym m.in. </w:t>
      </w:r>
      <w:r w:rsidRPr="001275FB">
        <w:rPr>
          <w:b/>
          <w:bCs/>
        </w:rPr>
        <w:t>s</w:t>
      </w:r>
      <w:r w:rsidRPr="001275FB">
        <w:t>kuteczna komunikacja w zespole pracującym na odległość, budowanie zaufania i współpracy na odległość)</w:t>
      </w:r>
    </w:p>
    <w:p w14:paraId="3F766DE8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  <w:rPr>
          <w:b/>
          <w:bCs/>
          <w:sz w:val="27"/>
          <w:szCs w:val="27"/>
        </w:rPr>
      </w:pPr>
      <w:proofErr w:type="spellStart"/>
      <w:r w:rsidRPr="001275FB">
        <w:t>Work</w:t>
      </w:r>
      <w:proofErr w:type="spellEnd"/>
      <w:r w:rsidRPr="001275FB">
        <w:t xml:space="preserve">-life </w:t>
      </w:r>
      <w:proofErr w:type="spellStart"/>
      <w:r w:rsidRPr="001275FB">
        <w:t>balance</w:t>
      </w:r>
      <w:proofErr w:type="spellEnd"/>
      <w:r w:rsidRPr="001275FB">
        <w:t xml:space="preserve"> i jego znaczenie (w tym m.in. równoważenie życia zawodowego i prywatnego, istota odpoczynku i regeneracji, kultura organizacyjna a </w:t>
      </w:r>
      <w:proofErr w:type="spellStart"/>
      <w:r w:rsidRPr="001275FB">
        <w:t>work</w:t>
      </w:r>
      <w:proofErr w:type="spellEnd"/>
      <w:r w:rsidRPr="001275FB">
        <w:t xml:space="preserve">-life </w:t>
      </w:r>
      <w:proofErr w:type="spellStart"/>
      <w:r w:rsidRPr="001275FB">
        <w:t>balance</w:t>
      </w:r>
      <w:proofErr w:type="spellEnd"/>
      <w:r w:rsidRPr="001275FB">
        <w:t>)</w:t>
      </w:r>
    </w:p>
    <w:p w14:paraId="3D6328BC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</w:pPr>
      <w:r w:rsidRPr="001275FB">
        <w:t>Wykorzystanie technologii w elastycznym czasie pracy (w tym m.in. narzędzia do zarządzania czasem i projektami wspierające elastyczność i wydajność w pracy zdalnej)</w:t>
      </w:r>
    </w:p>
    <w:p w14:paraId="201E8AC4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</w:pPr>
      <w:r w:rsidRPr="001275FB">
        <w:t>Motywowanie i wspieranie pracowników (w tym m.in. techniki motywacyjne w środowisku elastycznej pracy, programy wsparcia zdrowia psychicznego i fizycznego)</w:t>
      </w:r>
    </w:p>
    <w:p w14:paraId="4EBE4C35" w14:textId="77777777" w:rsidR="004F6872" w:rsidRPr="001275FB" w:rsidRDefault="004F6872" w:rsidP="004F6872">
      <w:pPr>
        <w:numPr>
          <w:ilvl w:val="0"/>
          <w:numId w:val="18"/>
        </w:numPr>
        <w:spacing w:before="100" w:beforeAutospacing="1" w:after="120"/>
        <w:ind w:left="641" w:hanging="357"/>
        <w:jc w:val="both"/>
        <w:outlineLvl w:val="2"/>
      </w:pPr>
      <w:r w:rsidRPr="001275FB">
        <w:t>Zarządzanie efektywnością i wydajnością (w tym m.in. mierzenie wyników w elastycznym systemie pracy zdalnej, ocena efektywności pracy zdalnej)</w:t>
      </w:r>
    </w:p>
    <w:p w14:paraId="757E6046" w14:textId="77777777" w:rsidR="004F6872" w:rsidRPr="001275FB" w:rsidRDefault="004F6872" w:rsidP="004F6872">
      <w:pPr>
        <w:spacing w:before="100" w:beforeAutospacing="1" w:after="100" w:afterAutospacing="1"/>
        <w:jc w:val="both"/>
      </w:pPr>
      <w:r>
        <w:t>Wymienione</w:t>
      </w:r>
      <w:r w:rsidRPr="001275FB">
        <w:t xml:space="preserve"> tematy są niezwykle istotne, by wprowadzenie elastycznego czasu pracy oraz promowanie </w:t>
      </w:r>
      <w:proofErr w:type="spellStart"/>
      <w:r w:rsidRPr="001275FB">
        <w:t>work</w:t>
      </w:r>
      <w:proofErr w:type="spellEnd"/>
      <w:r w:rsidRPr="001275FB">
        <w:t xml:space="preserve">-life </w:t>
      </w:r>
      <w:proofErr w:type="spellStart"/>
      <w:r w:rsidRPr="001275FB">
        <w:t>balance</w:t>
      </w:r>
      <w:proofErr w:type="spellEnd"/>
      <w:r w:rsidRPr="001275FB">
        <w:t xml:space="preserve"> było efektywne zarówno dla pracowników, jak i organizacji. Takie szkolenia mogłyby wspierać pracowników, rozwijać ich umiejętności nie tylko w obszarze zarządzania czasem, ale także w kontekście dbania o zdrowie, efektywność w pracy i budowanie lepszych relacji w zespole pracowniczym.</w:t>
      </w:r>
    </w:p>
    <w:p w14:paraId="5742B030" w14:textId="77777777" w:rsidR="004F6872" w:rsidRPr="004F6872" w:rsidRDefault="004F6872" w:rsidP="00C70D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sectPr w:rsidR="004F6872" w:rsidRPr="004F6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D334" w14:textId="77777777" w:rsidR="00A62F19" w:rsidRDefault="00A62F19" w:rsidP="00602594">
      <w:pPr>
        <w:spacing w:after="0" w:line="240" w:lineRule="auto"/>
      </w:pPr>
      <w:r>
        <w:separator/>
      </w:r>
    </w:p>
  </w:endnote>
  <w:endnote w:type="continuationSeparator" w:id="0">
    <w:p w14:paraId="540D33A1" w14:textId="77777777" w:rsidR="00A62F19" w:rsidRDefault="00A62F19" w:rsidP="00602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653F8" w14:textId="77777777" w:rsidR="00A62F19" w:rsidRDefault="00A62F19" w:rsidP="00602594">
      <w:pPr>
        <w:spacing w:after="0" w:line="240" w:lineRule="auto"/>
      </w:pPr>
      <w:r>
        <w:separator/>
      </w:r>
    </w:p>
  </w:footnote>
  <w:footnote w:type="continuationSeparator" w:id="0">
    <w:p w14:paraId="772D280B" w14:textId="77777777" w:rsidR="00A62F19" w:rsidRDefault="00A62F19" w:rsidP="00602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74"/>
    <w:multiLevelType w:val="hybridMultilevel"/>
    <w:tmpl w:val="BD6E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1C0D"/>
    <w:multiLevelType w:val="hybridMultilevel"/>
    <w:tmpl w:val="C764C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1FB1"/>
    <w:multiLevelType w:val="hybridMultilevel"/>
    <w:tmpl w:val="8BF81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6B04"/>
    <w:multiLevelType w:val="hybridMultilevel"/>
    <w:tmpl w:val="9C7E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6569"/>
    <w:multiLevelType w:val="hybridMultilevel"/>
    <w:tmpl w:val="3D7C5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86931"/>
    <w:multiLevelType w:val="hybridMultilevel"/>
    <w:tmpl w:val="9FC01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3092C"/>
    <w:multiLevelType w:val="hybridMultilevel"/>
    <w:tmpl w:val="10281BC6"/>
    <w:lvl w:ilvl="0" w:tplc="FA2055C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4360"/>
    <w:multiLevelType w:val="hybridMultilevel"/>
    <w:tmpl w:val="D7B4A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453F0"/>
    <w:multiLevelType w:val="hybridMultilevel"/>
    <w:tmpl w:val="2D709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A4C10"/>
    <w:multiLevelType w:val="hybridMultilevel"/>
    <w:tmpl w:val="8C1ED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4C8F"/>
    <w:multiLevelType w:val="hybridMultilevel"/>
    <w:tmpl w:val="22383D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E340FD"/>
    <w:multiLevelType w:val="hybridMultilevel"/>
    <w:tmpl w:val="EAC2AD1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B0345A"/>
    <w:multiLevelType w:val="hybridMultilevel"/>
    <w:tmpl w:val="6A384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18BB"/>
    <w:multiLevelType w:val="hybridMultilevel"/>
    <w:tmpl w:val="680E4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25A84"/>
    <w:multiLevelType w:val="hybridMultilevel"/>
    <w:tmpl w:val="C55E39B8"/>
    <w:lvl w:ilvl="0" w:tplc="C01208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11CB5"/>
    <w:multiLevelType w:val="multilevel"/>
    <w:tmpl w:val="D2FA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E138B"/>
    <w:multiLevelType w:val="multilevel"/>
    <w:tmpl w:val="E094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E08BF"/>
    <w:multiLevelType w:val="hybridMultilevel"/>
    <w:tmpl w:val="24289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328628">
    <w:abstractNumId w:val="9"/>
  </w:num>
  <w:num w:numId="2" w16cid:durableId="652569342">
    <w:abstractNumId w:val="13"/>
  </w:num>
  <w:num w:numId="3" w16cid:durableId="410541101">
    <w:abstractNumId w:val="7"/>
  </w:num>
  <w:num w:numId="4" w16cid:durableId="119421763">
    <w:abstractNumId w:val="5"/>
  </w:num>
  <w:num w:numId="5" w16cid:durableId="1363746929">
    <w:abstractNumId w:val="14"/>
  </w:num>
  <w:num w:numId="6" w16cid:durableId="80874762">
    <w:abstractNumId w:val="12"/>
  </w:num>
  <w:num w:numId="7" w16cid:durableId="1784496365">
    <w:abstractNumId w:val="17"/>
  </w:num>
  <w:num w:numId="8" w16cid:durableId="622154801">
    <w:abstractNumId w:val="4"/>
  </w:num>
  <w:num w:numId="9" w16cid:durableId="248202154">
    <w:abstractNumId w:val="1"/>
  </w:num>
  <w:num w:numId="10" w16cid:durableId="1517311203">
    <w:abstractNumId w:val="2"/>
  </w:num>
  <w:num w:numId="11" w16cid:durableId="1978954728">
    <w:abstractNumId w:val="8"/>
  </w:num>
  <w:num w:numId="12" w16cid:durableId="443890029">
    <w:abstractNumId w:val="10"/>
  </w:num>
  <w:num w:numId="13" w16cid:durableId="1817408015">
    <w:abstractNumId w:val="0"/>
  </w:num>
  <w:num w:numId="14" w16cid:durableId="723332442">
    <w:abstractNumId w:val="3"/>
  </w:num>
  <w:num w:numId="15" w16cid:durableId="16995090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3571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9067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4689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64"/>
    <w:rsid w:val="0002445C"/>
    <w:rsid w:val="00052B38"/>
    <w:rsid w:val="000848B4"/>
    <w:rsid w:val="000E2C85"/>
    <w:rsid w:val="001A4177"/>
    <w:rsid w:val="001B7A26"/>
    <w:rsid w:val="001C4AC9"/>
    <w:rsid w:val="001E6153"/>
    <w:rsid w:val="002404F9"/>
    <w:rsid w:val="00254B58"/>
    <w:rsid w:val="00273215"/>
    <w:rsid w:val="00337CB4"/>
    <w:rsid w:val="003B1865"/>
    <w:rsid w:val="003C6E89"/>
    <w:rsid w:val="003D533F"/>
    <w:rsid w:val="003E3F68"/>
    <w:rsid w:val="004F6872"/>
    <w:rsid w:val="00511338"/>
    <w:rsid w:val="00527507"/>
    <w:rsid w:val="0053565B"/>
    <w:rsid w:val="00537A6C"/>
    <w:rsid w:val="005C3426"/>
    <w:rsid w:val="005D7CEC"/>
    <w:rsid w:val="00602594"/>
    <w:rsid w:val="00677C4A"/>
    <w:rsid w:val="0073462C"/>
    <w:rsid w:val="007356E2"/>
    <w:rsid w:val="00797390"/>
    <w:rsid w:val="007B4D11"/>
    <w:rsid w:val="007C032A"/>
    <w:rsid w:val="00846C5A"/>
    <w:rsid w:val="00872E11"/>
    <w:rsid w:val="008C3428"/>
    <w:rsid w:val="008C4F04"/>
    <w:rsid w:val="008C69EE"/>
    <w:rsid w:val="00912B64"/>
    <w:rsid w:val="009B673D"/>
    <w:rsid w:val="009D04FE"/>
    <w:rsid w:val="00A222B9"/>
    <w:rsid w:val="00A32CC8"/>
    <w:rsid w:val="00A33B8A"/>
    <w:rsid w:val="00A47399"/>
    <w:rsid w:val="00A578A9"/>
    <w:rsid w:val="00A62F19"/>
    <w:rsid w:val="00B647D0"/>
    <w:rsid w:val="00BA06A9"/>
    <w:rsid w:val="00BA45F1"/>
    <w:rsid w:val="00C70D97"/>
    <w:rsid w:val="00C72855"/>
    <w:rsid w:val="00C77FA4"/>
    <w:rsid w:val="00C83C14"/>
    <w:rsid w:val="00CC2C98"/>
    <w:rsid w:val="00CC673C"/>
    <w:rsid w:val="00CE5357"/>
    <w:rsid w:val="00D15BF7"/>
    <w:rsid w:val="00D72910"/>
    <w:rsid w:val="00D9363B"/>
    <w:rsid w:val="00DA566F"/>
    <w:rsid w:val="00DB0EC4"/>
    <w:rsid w:val="00DD3DE7"/>
    <w:rsid w:val="00DD6F07"/>
    <w:rsid w:val="00E72C50"/>
    <w:rsid w:val="00E73F4A"/>
    <w:rsid w:val="00EB5B25"/>
    <w:rsid w:val="00EC027C"/>
    <w:rsid w:val="00EE5D34"/>
    <w:rsid w:val="00F149B2"/>
    <w:rsid w:val="00F27B78"/>
    <w:rsid w:val="00F44E81"/>
    <w:rsid w:val="00F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F05"/>
  <w15:chartTrackingRefBased/>
  <w15:docId w15:val="{C062D843-4171-4728-B770-816E9E9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85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285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B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254B5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848B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94"/>
    <w:rPr>
      <w:vertAlign w:val="superscript"/>
    </w:rPr>
  </w:style>
  <w:style w:type="paragraph" w:customStyle="1" w:styleId="Default">
    <w:name w:val="Default"/>
    <w:rsid w:val="008C3428"/>
    <w:pPr>
      <w:autoSpaceDE w:val="0"/>
      <w:autoSpaceDN w:val="0"/>
      <w:adjustRightInd w:val="0"/>
      <w:spacing w:after="0" w:line="240" w:lineRule="auto"/>
    </w:pPr>
    <w:rPr>
      <w:rFonts w:ascii="Lato" w:eastAsia="SimSun" w:hAnsi="Lato" w:cs="Lato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87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ometrzawodow.pl/modul/prognozy-na-plakatach?publication=province&amp;province=10&amp;year=2022&amp;form-group%5B%5D=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rometrzawodow.pl/modul/prognozy-na-plakatach?publication=county&amp;province=10&amp;county=220&amp;year=2022&amp;form-group%5B%5D=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1142</Words>
  <Characters>6855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Hanna Kowalczyk</cp:lastModifiedBy>
  <cp:revision>20</cp:revision>
  <cp:lastPrinted>2025-01-16T12:17:00Z</cp:lastPrinted>
  <dcterms:created xsi:type="dcterms:W3CDTF">2022-01-24T08:17:00Z</dcterms:created>
  <dcterms:modified xsi:type="dcterms:W3CDTF">2025-09-11T08:10:00Z</dcterms:modified>
</cp:coreProperties>
</file>